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2524EC">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2524EC"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8938BD" w:rsidP="008938BD">
      <w:pPr>
        <w:widowControl/>
        <w:autoSpaceDE/>
        <w:jc w:val="center"/>
        <w:rPr>
          <w:rFonts w:eastAsia="Calibri" w:cs="Times New Roman"/>
          <w:sz w:val="20"/>
          <w:highlight w:val="yellow"/>
        </w:rPr>
      </w:pPr>
      <w:r>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AC relatif à XXXXXXX</w:t>
      </w:r>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0" w:name="_bookmark0"/>
      <w:bookmarkEnd w:id="0"/>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2524EC">
        <w:rPr>
          <w:rFonts w:cs="Arial"/>
          <w:sz w:val="20"/>
          <w:szCs w:val="20"/>
        </w:rPr>
      </w:r>
      <w:r w:rsidR="002524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2524EC">
        <w:rPr>
          <w:rFonts w:cs="Arial"/>
          <w:sz w:val="20"/>
          <w:szCs w:val="20"/>
        </w:rPr>
      </w:r>
      <w:r w:rsidR="002524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2524EC">
        <w:rPr>
          <w:rFonts w:cs="Arial"/>
          <w:sz w:val="20"/>
          <w:szCs w:val="20"/>
        </w:rPr>
      </w:r>
      <w:r w:rsidR="002524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lastRenderedPageBreak/>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bookmarkStart w:id="6" w:name="_GoBack"/>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bookmarkEnd w:id="6"/>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r>
      <w:r>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pacing w:val="-4"/>
                <w:sz w:val="18"/>
              </w:rPr>
              <w:t>D</w:t>
            </w:r>
            <w:r>
              <w:rPr>
                <w:i/>
                <w:spacing w:val="-2"/>
                <w:sz w:val="18"/>
              </w:rPr>
              <w:t xml:space="preserve"> </w:t>
            </w:r>
            <w:r>
              <w:rPr>
                <w:i/>
                <w:sz w:val="18"/>
              </w:rPr>
              <w:t>du</w:t>
            </w:r>
            <w:r>
              <w:rPr>
                <w:i/>
                <w:spacing w:val="-2"/>
                <w:sz w:val="18"/>
              </w:rPr>
              <w:t xml:space="preserve"> </w:t>
            </w:r>
            <w:r>
              <w:rPr>
                <w:i/>
                <w:spacing w:val="-4"/>
                <w:sz w:val="18"/>
              </w:rPr>
              <w:t>DC</w:t>
            </w:r>
            <w:r>
              <w:rPr>
                <w:i/>
                <w:spacing w:val="-4"/>
                <w:sz w:val="18"/>
              </w:rPr>
              <w:t>4</w:t>
            </w:r>
            <w:r>
              <w:rPr>
                <w:i/>
                <w:spacing w:val="-4"/>
                <w:sz w:val="18"/>
              </w:rPr>
              <w:t>)</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2524EC">
          <w:rPr>
            <w:noProof/>
            <w:sz w:val="18"/>
            <w:szCs w:val="18"/>
          </w:rPr>
          <w:t>7</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8938BD"/>
    <w:rsid w:val="0091267C"/>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A80C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5AD67-42F0-4953-94FD-E25188E1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3778</Words>
  <Characters>20779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BAUDIN Sandra ATTACHE PRIN ADMI</cp:lastModifiedBy>
  <cp:revision>17</cp:revision>
  <dcterms:created xsi:type="dcterms:W3CDTF">2024-01-09T09:15:00Z</dcterms:created>
  <dcterms:modified xsi:type="dcterms:W3CDTF">2025-03-06T12:21:00Z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